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方正大标宋_GBK"/>
          <w:sz w:val="32"/>
          <w:szCs w:val="32"/>
        </w:rPr>
      </w:pPr>
      <w:r>
        <w:rPr>
          <w:rFonts w:hint="eastAsia" w:ascii="黑体" w:hAnsi="黑体" w:eastAsia="黑体" w:cs="方正大标宋_GBK"/>
          <w:sz w:val="32"/>
          <w:szCs w:val="32"/>
        </w:rPr>
        <w:t>附件1</w:t>
      </w:r>
    </w:p>
    <w:p>
      <w:pPr>
        <w:spacing w:line="600" w:lineRule="exact"/>
        <w:jc w:val="left"/>
        <w:rPr>
          <w:rFonts w:ascii="黑体" w:hAnsi="黑体" w:eastAsia="黑体" w:cs="方正大标宋_GBK"/>
          <w:sz w:val="32"/>
          <w:szCs w:val="32"/>
        </w:rPr>
      </w:pPr>
    </w:p>
    <w:p>
      <w:pPr>
        <w:spacing w:line="600" w:lineRule="exact"/>
        <w:jc w:val="center"/>
        <w:rPr>
          <w:rFonts w:cs="方正大标宋_GBK" w:asciiTheme="majorEastAsia" w:hAnsiTheme="majorEastAsia" w:eastAsiaTheme="majorEastAsia"/>
          <w:b/>
          <w:sz w:val="44"/>
          <w:szCs w:val="44"/>
        </w:rPr>
      </w:pPr>
      <w:r>
        <w:rPr>
          <w:rFonts w:cs="方正大标宋_GBK" w:asciiTheme="majorEastAsia" w:hAnsiTheme="majorEastAsia" w:eastAsiaTheme="majorEastAsia"/>
          <w:b/>
          <w:sz w:val="44"/>
          <w:szCs w:val="44"/>
        </w:rPr>
        <w:t>201</w:t>
      </w:r>
      <w:r>
        <w:rPr>
          <w:rFonts w:hint="eastAsia" w:cs="方正大标宋_GBK" w:asciiTheme="majorEastAsia" w:hAnsiTheme="majorEastAsia" w:eastAsiaTheme="majorEastAsia"/>
          <w:b/>
          <w:sz w:val="44"/>
          <w:szCs w:val="44"/>
        </w:rPr>
        <w:t>8年度新乡市政府决策研究招标</w:t>
      </w:r>
    </w:p>
    <w:p>
      <w:pPr>
        <w:spacing w:line="600" w:lineRule="exact"/>
        <w:jc w:val="center"/>
        <w:rPr>
          <w:rFonts w:cs="方正大标宋_GBK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大标宋_GBK" w:asciiTheme="majorEastAsia" w:hAnsiTheme="majorEastAsia" w:eastAsiaTheme="majorEastAsia"/>
          <w:b/>
          <w:sz w:val="44"/>
          <w:szCs w:val="44"/>
        </w:rPr>
        <w:t>课 题 指 南</w:t>
      </w:r>
    </w:p>
    <w:p>
      <w:pPr>
        <w:spacing w:line="600" w:lineRule="exact"/>
        <w:ind w:firstLine="880" w:firstLineChars="200"/>
        <w:rPr>
          <w:rFonts w:ascii="方正大标宋_GBK" w:hAnsi="方正大标宋_GBK" w:eastAsia="方正大标宋_GBK" w:cs="方正大标宋_GBK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说明：课题申报者请紧紧围绕《课题指南》指定的研究范围和研究方向，结合自身研究领域，确定研究题目。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一般课题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1.新乡改革开放四十年的历程、成就和经验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2.新乡全面深入贯彻新发展理念问题研究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3.新时期新乡市实体经济发展研究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4.推动新乡高质量发展研究</w:t>
      </w:r>
      <w:r>
        <w:rPr>
          <w:rFonts w:hint="eastAsia" w:ascii="仿宋" w:hAnsi="仿宋" w:eastAsia="仿宋" w:cs="仿宋"/>
          <w:sz w:val="32"/>
          <w:szCs w:val="32"/>
          <w:u w:val="single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5.高质量发展阶段新乡市培育新消费增长点研究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6.新乡抓重点、补短板、强弱项系统研究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7.新乡市优化营商环境研究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8.“一带一路”倡议背景下新乡如何进一步加大利用外资力度问题研究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9.“一带一路”倡议背景下的新乡跨境电商发展研究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10.新乡市绿色发展研究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11.新乡市构建环境保护与经济增长良性互动机制研究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12.促进新乡市生态文明建设的体制机制研究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13.新乡市战略性新兴产业发展中存在的问题与对策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14.提升新乡市制造业创新能力研究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15.新乡制造业数字化、网络化、智能化、绿色化发展研究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16.新乡市产业智能化升级与创新发展对策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17.新乡市制造业服务化的现状、问题与对策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18.推进新乡市服务业总量增长、结构优化、效率提升研究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19.促进新乡市民营经济高质量发展研究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20.新乡新经济发展研究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21.新乡枢纽经济发展的思路、途径与对策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22.新乡健康养老产业发展中存在的问题与对策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23.新时代新乡市旅游业转型升级的路径与对策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24.新乡僵尸企业处置中存在的问题与政策建议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25.新乡市工业企业节能减排问题研究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26.可持续发展视角下新乡能源革命的思路与对策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27.新乡交通运输业绿色低碳发展研究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28.新乡市交通运输智能化、信息化建设研究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29.牧野历史文化资源与乡村旅游深度融合研究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30.推进新乡“军民融合”发展研究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31.互联网时代加强新乡电子政务信息安全建设研究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32. 推动新乡党的建设高质量研究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33.新乡市新型城镇化、新型工业化与乡村振兴耦合研究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34.新乡构建城乡融合发展体制机制研究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35.新乡市企业家队伍建设研究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36.新乡不同类型主体功能区农业农村发展问题研究（城市化地区、农产品主产区、重点生态区）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37.国内外乡村振兴经验对新乡乡村振兴战略实施的经验借鉴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38.新乡完善县域村镇体系规划研究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39.乡村振兴战略背景下新乡传承提升农村优秀传统文化问题研究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40.新时期新乡农村一二三产业融合发展研究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41.新形势下新乡市特色农业发展的思路途径与对策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42.农业供给侧结构性改革背景下提高新乡市农业综合效益的对策 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43.培育和支持新乡市新型农业经营主体的思路与对策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44.新乡城市工商资本下乡问题研究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45.新乡市农业适度规模经营多种实现形式、模式及尺度研究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46.新乡市农业生产性服务业发展研究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47.产业融合视域下新乡市农民增收途径与对策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48.新乡市农业新业态、新产业、新模式发展研究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49.乡村振兴战略背景下的新乡绿色农业发展研究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50.促进新乡市循环农业发展支持政策研究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51.新乡市重点生态功能区生态补偿机制及生态经济发展研究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52.深化新乡市农村土地制度改革研究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53.新乡市农民闲置宅基地“三权分置”研究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54.新型城镇化进程中农村产权实现形式研究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55.新乡市农村产权交易市场建设研究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56.新时期新乡农村集体经济发展的理论与实践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57.新乡支持返乡下乡人员创业创新研究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58.新乡乡村振兴与新型职业农民培育研究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59.新形势下新乡市国土空间用途管制研究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60.增强新乡豫北中心城市竞争力研究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61.提升新乡市城市发展质量研究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62.新乡市绿色城市发展研究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63.新乡智慧城市建设研究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64.新时期新乡城市更新问题研究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65.新乡市特色小镇建设的现状、问题与对策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66.新乡百城建设提质工程推进中存在的问题与对策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67. 提升新乡市城市建设与管理水平研究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68.“互联网+”背景下新乡城市治理创新研究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69.新乡构建新型城市社区管理机制研究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70.新时期新乡提升城市品位打造城市品牌研究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71.新乡农民工融入城市问题研究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72.促进新乡城市现代服务业发展研究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73.新乡市住房需求变化与房地产市场健康持续发展研究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74.新乡市产业地产发展现状与趋势研究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75.新乡市绿色金融发展研究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76.深化新乡市投融资体制改革问题研究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77.新时代新乡农村金融发展研究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78.新乡市融入“一带一路”建设的金融支撑研究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79.新乡市打好化解重大风险攻坚战研究（企业风险、政府债务风险、银行金融风险等）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80.新乡市防范打击非法集资的难点和建议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81.新乡市金融扶贫模式、路径与对策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82.新乡实施乡村振兴战略的金融支撑研究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83.新乡市投资基金业发展研究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84.新乡加强征信体系建设研究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85.新乡市供给侧结构性改革的财税政策研究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86.新形势下新乡市财政支出结构优化问题研究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87.新乡实施乡村振兴战略的财政支持政策研究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88.新乡财政资金撬动金融支农问题研究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89.创新新乡农业保险制度问题研究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90.新乡市精准脱贫机制优化研究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91.新乡打好污染防治攻坚战的对策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92.新形势下新乡市新型智库建设研究</w:t>
      </w:r>
      <w:r>
        <w:rPr>
          <w:rFonts w:hint="eastAsia" w:ascii="仿宋" w:hAnsi="仿宋" w:eastAsia="仿宋" w:cs="仿宋"/>
          <w:sz w:val="32"/>
          <w:szCs w:val="32"/>
          <w:u w:val="single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93.乡村振兴战略背景下的新乡乡村治理体系建设研究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94.新乡平安乡村建设研究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95.新形势下新乡市基层社会治理创新研究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96.新乡教育均衡发展研究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97.新乡市民办教育可持续发展研究</w:t>
      </w:r>
      <w:r>
        <w:rPr>
          <w:rFonts w:hint="eastAsia" w:ascii="仿宋" w:hAnsi="仿宋" w:eastAsia="仿宋" w:cs="仿宋"/>
          <w:sz w:val="32"/>
          <w:szCs w:val="32"/>
          <w:u w:val="single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98.新乡市应用型高校建设与发展研究</w:t>
      </w:r>
      <w:r>
        <w:rPr>
          <w:rFonts w:hint="eastAsia" w:ascii="仿宋" w:hAnsi="仿宋" w:eastAsia="仿宋" w:cs="仿宋"/>
          <w:sz w:val="32"/>
          <w:szCs w:val="32"/>
          <w:u w:val="single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99.新乡市应对“人才争夺战”对策与建议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100.新乡建设多元化养老综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合体，完善养老服务体系的经验和对策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101.新乡农村老人养老金缴纳问题与对策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102.新乡市大病补充医疗保险政策评估与制度优化研究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103.新形势下新乡推进医养结合问题研究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104.新乡市建设牧野文化高地的约束与对策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105.提升牧野文化软实力的路径与对策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106.牧野文化传播途径研究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107.“一带一路”倡议背景下牧野文化“走出去”研究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108.全面依法治国背景下推进法治新乡建设研究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109.新形势下坚定党员干部理想信念研究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110.新乡推进全面从严治党的新实践、新探索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111.推进政治巡察向基层延伸，打通全面从严治党最后一公里问题研究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112.新乡沿黄河经济带的构建与对策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113.新乡市文化与相关产业融合发展研究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114．新乡市文化产业与旅游融合发展研究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rect id="文本框 1" o:spid="_x0000_s4097" o:spt="1" style="position:absolute;left:0pt;margin-top:0pt;height:144pt;width:144pt;mso-position-horizontal:center;mso-position-horizontal-relative:margin;mso-wrap-style:none;z-index:251660288;mso-width-relative:page;mso-height-relative:page;" filled="f" o:preferrelative="t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asciiTheme="minorEastAsia" w:hAnsiTheme="minorEastAsia" w:eastAsiaTheme="minorEastAsia"/>
                    <w:sz w:val="28"/>
                    <w:szCs w:val="28"/>
                  </w:rPr>
                </w:pPr>
                <w:r>
                  <w:rPr>
                    <w:rFonts w:asciiTheme="minorEastAsia" w:hAnsiTheme="minorEastAsia" w:eastAsia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Theme="minorEastAsia" w:hAnsiTheme="minorEastAsia" w:eastAsia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hAnsiTheme="minorEastAsia" w:eastAsia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eastAsiaTheme="minorEastAsia"/>
                    <w:sz w:val="28"/>
                    <w:szCs w:val="28"/>
                  </w:rPr>
                  <w:t>- 6 -</w:t>
                </w:r>
                <w:r>
                  <w:rPr>
                    <w:rFonts w:asciiTheme="minorEastAsia" w:hAnsiTheme="minorEastAsia" w:eastAsia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2C3C"/>
    <w:rsid w:val="00061E23"/>
    <w:rsid w:val="00064C28"/>
    <w:rsid w:val="00186474"/>
    <w:rsid w:val="001A2C3C"/>
    <w:rsid w:val="001B4F8B"/>
    <w:rsid w:val="001D12C3"/>
    <w:rsid w:val="001D49A8"/>
    <w:rsid w:val="001E0442"/>
    <w:rsid w:val="00255001"/>
    <w:rsid w:val="00301F8D"/>
    <w:rsid w:val="00410586"/>
    <w:rsid w:val="00430EC9"/>
    <w:rsid w:val="004525FF"/>
    <w:rsid w:val="00473F8C"/>
    <w:rsid w:val="004C4C8A"/>
    <w:rsid w:val="004D790F"/>
    <w:rsid w:val="005A7350"/>
    <w:rsid w:val="005E7887"/>
    <w:rsid w:val="00632E8E"/>
    <w:rsid w:val="00656BE3"/>
    <w:rsid w:val="006A2A49"/>
    <w:rsid w:val="006B7B07"/>
    <w:rsid w:val="00754F82"/>
    <w:rsid w:val="00757F8F"/>
    <w:rsid w:val="008F28C9"/>
    <w:rsid w:val="0096097F"/>
    <w:rsid w:val="0099160E"/>
    <w:rsid w:val="00992D6D"/>
    <w:rsid w:val="00996978"/>
    <w:rsid w:val="00A13DBE"/>
    <w:rsid w:val="00A32462"/>
    <w:rsid w:val="00A342F9"/>
    <w:rsid w:val="00AA5509"/>
    <w:rsid w:val="00AD7D74"/>
    <w:rsid w:val="00B72233"/>
    <w:rsid w:val="00B80E3D"/>
    <w:rsid w:val="00BB525A"/>
    <w:rsid w:val="00C61439"/>
    <w:rsid w:val="00C675CA"/>
    <w:rsid w:val="00C828B2"/>
    <w:rsid w:val="00D029F5"/>
    <w:rsid w:val="00D73C2D"/>
    <w:rsid w:val="00D76039"/>
    <w:rsid w:val="00DD126D"/>
    <w:rsid w:val="00EF64B1"/>
    <w:rsid w:val="00F57E25"/>
    <w:rsid w:val="00FB3AE4"/>
    <w:rsid w:val="010204A4"/>
    <w:rsid w:val="04461625"/>
    <w:rsid w:val="05615C9E"/>
    <w:rsid w:val="06766C75"/>
    <w:rsid w:val="0A9D5C0A"/>
    <w:rsid w:val="0B3B310A"/>
    <w:rsid w:val="0D8F227C"/>
    <w:rsid w:val="151B67F1"/>
    <w:rsid w:val="1833646B"/>
    <w:rsid w:val="1853240D"/>
    <w:rsid w:val="19AE3D00"/>
    <w:rsid w:val="19D06EC5"/>
    <w:rsid w:val="19EA7C9D"/>
    <w:rsid w:val="1DE32F53"/>
    <w:rsid w:val="1EC8040C"/>
    <w:rsid w:val="1ED25DC3"/>
    <w:rsid w:val="1FD10A6F"/>
    <w:rsid w:val="1FEC3CC2"/>
    <w:rsid w:val="20142A5D"/>
    <w:rsid w:val="23AA0D32"/>
    <w:rsid w:val="29237C10"/>
    <w:rsid w:val="292955EF"/>
    <w:rsid w:val="2933462B"/>
    <w:rsid w:val="311C060A"/>
    <w:rsid w:val="346822B0"/>
    <w:rsid w:val="34C63957"/>
    <w:rsid w:val="36B85D79"/>
    <w:rsid w:val="4341365C"/>
    <w:rsid w:val="456A063B"/>
    <w:rsid w:val="4FF01696"/>
    <w:rsid w:val="577B770F"/>
    <w:rsid w:val="58351795"/>
    <w:rsid w:val="5B8C403F"/>
    <w:rsid w:val="5CA71859"/>
    <w:rsid w:val="5E316A47"/>
    <w:rsid w:val="5E9349AC"/>
    <w:rsid w:val="66B92274"/>
    <w:rsid w:val="68034175"/>
    <w:rsid w:val="6A7D3A56"/>
    <w:rsid w:val="6F6C493C"/>
    <w:rsid w:val="6FB915EC"/>
    <w:rsid w:val="70210C35"/>
    <w:rsid w:val="70AA434A"/>
    <w:rsid w:val="71B11BD9"/>
    <w:rsid w:val="7673792B"/>
    <w:rsid w:val="773E74FD"/>
    <w:rsid w:val="78AA02D9"/>
    <w:rsid w:val="7A7F4A7B"/>
    <w:rsid w:val="7AB365A4"/>
    <w:rsid w:val="7B6850C7"/>
    <w:rsid w:val="7CB44E8A"/>
    <w:rsid w:val="7D231659"/>
    <w:rsid w:val="7D58294C"/>
    <w:rsid w:val="7D645DF8"/>
    <w:rsid w:val="7D883D1E"/>
    <w:rsid w:val="7EB90D2E"/>
    <w:rsid w:val="7F4638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页脚 Char"/>
    <w:basedOn w:val="5"/>
    <w:link w:val="3"/>
    <w:semiHidden/>
    <w:locked/>
    <w:uiPriority w:val="99"/>
    <w:rPr>
      <w:rFonts w:ascii="Calibri" w:hAnsi="Calibri" w:cs="黑体"/>
      <w:sz w:val="18"/>
      <w:szCs w:val="18"/>
    </w:rPr>
  </w:style>
  <w:style w:type="character" w:customStyle="1" w:styleId="8">
    <w:name w:val="页眉 Char"/>
    <w:basedOn w:val="5"/>
    <w:link w:val="4"/>
    <w:semiHidden/>
    <w:qFormat/>
    <w:locked/>
    <w:uiPriority w:val="99"/>
    <w:rPr>
      <w:rFonts w:ascii="Calibri" w:hAnsi="Calibri" w:cs="黑体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locked/>
    <w:uiPriority w:val="99"/>
    <w:rPr>
      <w:rFonts w:ascii="Calibri" w:hAnsi="Calibri" w:cs="黑体"/>
      <w:sz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387</Words>
  <Characters>2210</Characters>
  <Lines>18</Lines>
  <Paragraphs>5</Paragraphs>
  <TotalTime>89</TotalTime>
  <ScaleCrop>false</ScaleCrop>
  <LinksUpToDate>false</LinksUpToDate>
  <CharactersWithSpaces>2592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2018-08-09T07:23:00Z</dcterms:created>
  <dc:creator>lenovo</dc:creator>
  <cp:lastModifiedBy>大海</cp:lastModifiedBy>
  <cp:lastPrinted>2018-09-10T03:08:00Z</cp:lastPrinted>
  <dcterms:modified xsi:type="dcterms:W3CDTF">2018-09-20T00:55:53Z</dcterms:modified>
  <dc:title>2017年度河南省政府决策研究招标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