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</w:rPr>
        <w:t>缴款人操作指南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缴款人持缴款通知书，根据通知书上的电子缴款码到河南政务服务网上缴款。</w:t>
      </w:r>
    </w:p>
    <w:p>
      <w:pPr>
        <w:pStyle w:val="3"/>
        <w:numPr>
          <w:ilvl w:val="1"/>
          <w:numId w:val="0"/>
        </w:num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.1 注册用户</w:t>
      </w:r>
    </w:p>
    <w:p>
      <w:pPr>
        <w:pStyle w:val="4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sz w:val="28"/>
          <w:szCs w:val="28"/>
        </w:rPr>
        <w:t>.1.1 创建用户</w:t>
      </w:r>
    </w:p>
    <w:p>
      <w:pPr>
        <w:ind w:firstLine="560" w:firstLineChars="200"/>
        <w:rPr>
          <w:rStyle w:val="7"/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1.输入网址</w:t>
      </w:r>
      <w:r>
        <w:fldChar w:fldCharType="begin"/>
      </w:r>
      <w:r>
        <w:instrText xml:space="preserve"> HYPERLINK "http://www.hnzwfw.gov.cn" </w:instrText>
      </w:r>
      <w:r>
        <w:fldChar w:fldCharType="separate"/>
      </w:r>
      <w:r>
        <w:rPr>
          <w:rStyle w:val="6"/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www.hnzwfw.gov.cn</w:t>
      </w:r>
      <w:r>
        <w:rPr>
          <w:rStyle w:val="6"/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7"/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，进入河南政务服务网，如图</w:t>
      </w:r>
      <w:r>
        <w:rPr>
          <w:rStyle w:val="7"/>
          <w:rFonts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3</w:t>
      </w:r>
      <w:r>
        <w:rPr>
          <w:rStyle w:val="7"/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-1-1-1所示:</w:t>
      </w:r>
    </w:p>
    <w:p>
      <w:pPr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4150" cy="3277235"/>
            <wp:effectExtent l="0" t="0" r="12700" b="18415"/>
            <wp:docPr id="5" name="图片 5" descr="3ELY(9A}052W{%M5AQ9SE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LY(9A}052W{%M5AQ9SEY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 图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-1-1-1</w:t>
      </w:r>
    </w:p>
    <w:p>
      <w:pPr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2.点击图中右上角注册--个人注册，如图</w:t>
      </w:r>
      <w:r>
        <w:rPr>
          <w:rFonts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-1-1-2所示，进入注册用户界面：</w:t>
      </w:r>
    </w:p>
    <w:p>
      <w:pPr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72405" cy="4038600"/>
            <wp:effectExtent l="9525" t="9525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3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  图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-1-1-2</w:t>
      </w:r>
    </w:p>
    <w:p>
      <w:pPr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在此页面填写用户名、密码、手机号、验证码及短信验证码等信息，填写无误，在‘我已阅读并同意《河南政务服务网用户注册协议》’前打‘</w:t>
      </w:r>
      <w:r>
        <w:rPr>
          <w:rFonts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color="FFFFFF" w:themeColor="background1"/>
          <w14:textFill>
            <w14:solidFill>
              <w14:schemeClr w14:val="tx1"/>
            </w14:solidFill>
          </w14:textFill>
        </w:rPr>
        <w:t>’，点击下一步。</w:t>
      </w:r>
    </w:p>
    <w:p>
      <w:pPr>
        <w:pStyle w:val="4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sz w:val="28"/>
          <w:szCs w:val="28"/>
        </w:rPr>
        <w:t>.1.2 实名认证</w:t>
      </w:r>
      <w:r>
        <w:rPr>
          <w:rFonts w:hint="eastAsia" w:ascii="仿宋" w:hAnsi="仿宋" w:eastAsia="仿宋"/>
          <w:sz w:val="28"/>
          <w:szCs w:val="28"/>
          <w:lang w:eastAsia="zh-CN"/>
        </w:rPr>
        <w:t>（可跳过）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用户创建完毕后，进入图3-1-2-1所示页面，在该页面填写真实姓名和身份证号，选择性别和民族，信息输入无误，点认证或暂不实名认证，直接下一步均可，然后系统提示注册成功，完成注册。</w:t>
      </w:r>
    </w:p>
    <w:p>
      <w:r>
        <w:drawing>
          <wp:inline distT="0" distB="0" distL="114300" distR="114300">
            <wp:extent cx="5274310" cy="3699510"/>
            <wp:effectExtent l="9525" t="9525" r="12065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/>
        </w:rPr>
        <w:t xml:space="preserve">                                   </w:t>
      </w:r>
      <w:r>
        <w:rPr>
          <w:rFonts w:hint="eastAsia" w:ascii="仿宋" w:hAnsi="仿宋" w:eastAsia="仿宋" w:cs="仿宋"/>
          <w:sz w:val="30"/>
          <w:szCs w:val="30"/>
        </w:rPr>
        <w:t>图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-1-2-1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注：用户注册完成后，用户可以用支付宝快速登录，详细如图3-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。点击支付宝，用手机支付宝APP直接扫描生成的二唯码即可授权登录。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20872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图3-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ascii="仿宋" w:hAnsi="仿宋" w:eastAsia="仿宋" w:cs="仿宋"/>
          <w:sz w:val="28"/>
          <w:szCs w:val="28"/>
        </w:rPr>
        <w:t>2</w:t>
      </w:r>
    </w:p>
    <w:p>
      <w:pPr>
        <w:pStyle w:val="3"/>
        <w:numPr>
          <w:ilvl w:val="1"/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sz w:val="28"/>
          <w:szCs w:val="28"/>
        </w:rPr>
        <w:t>.2 缴款人缴款流程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1.用户注册成功后，直接进入河南政务服务网，如图3-2-1：</w:t>
      </w:r>
    </w:p>
    <w:p>
      <w:pPr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4150" cy="3277235"/>
            <wp:effectExtent l="0" t="0" r="12700" b="18415"/>
            <wp:docPr id="19" name="图片 19" descr="3ELY(9A}052W{%M5AQ9SE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ELY(9A}052W{%M5AQ9SEY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</w:t>
      </w:r>
      <w:r>
        <w:rPr>
          <w:rFonts w:hint="eastAsia" w:ascii="仿宋" w:hAnsi="仿宋" w:eastAsia="仿宋" w:cs="仿宋"/>
          <w:sz w:val="28"/>
          <w:szCs w:val="28"/>
        </w:rPr>
        <w:t xml:space="preserve"> 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-2-1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2.点击</w:t>
      </w:r>
      <w:r>
        <w:rPr>
          <w:rFonts w:hint="eastAsia" w:ascii="仿宋" w:hAnsi="仿宋" w:eastAsia="仿宋" w:cs="仿宋"/>
          <w:color w:val="FF0000"/>
          <w:sz w:val="30"/>
          <w:szCs w:val="30"/>
          <w:lang w:eastAsia="zh-CN"/>
        </w:rPr>
        <w:t>便民服务</w:t>
      </w:r>
      <w:r>
        <w:rPr>
          <w:rFonts w:hint="eastAsia" w:ascii="仿宋" w:hAnsi="仿宋" w:eastAsia="仿宋" w:cs="仿宋"/>
          <w:sz w:val="30"/>
          <w:szCs w:val="30"/>
        </w:rPr>
        <w:t>，进入如图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-2-2所示页面：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73040" cy="3420110"/>
            <wp:effectExtent l="0" t="0" r="3810" b="8890"/>
            <wp:docPr id="7" name="图片 7" descr="XQHSQLB4{CQFDF9XK5CDN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XQHSQLB4{CQFDF9XK5CDNH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</w:t>
      </w:r>
      <w:r>
        <w:rPr>
          <w:rFonts w:hint="eastAsia" w:ascii="仿宋" w:hAnsi="仿宋" w:eastAsia="仿宋" w:cs="仿宋"/>
          <w:sz w:val="28"/>
          <w:szCs w:val="28"/>
        </w:rPr>
        <w:t xml:space="preserve">  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-2-2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下滑网页到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纳税缴费</w:t>
      </w:r>
      <w:r>
        <w:rPr>
          <w:rFonts w:hint="eastAsia" w:ascii="仿宋" w:hAnsi="仿宋" w:eastAsia="仿宋" w:cs="仿宋"/>
          <w:sz w:val="28"/>
          <w:szCs w:val="28"/>
        </w:rPr>
        <w:t>，进入如图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-2-3所示页面：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3851275"/>
            <wp:effectExtent l="0" t="0" r="8255" b="15875"/>
            <wp:docPr id="21" name="图片 21" descr=")HEHJ{$)YQ)2ATL1}7T_U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)HEHJ{$)YQ)2ATL1}7T_UK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图3-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ascii="仿宋" w:hAnsi="仿宋" w:eastAsia="仿宋" w:cs="仿宋"/>
          <w:sz w:val="28"/>
          <w:szCs w:val="28"/>
        </w:rPr>
        <w:t>3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4．点击3-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图中的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非税缴纳</w:t>
      </w:r>
      <w:r>
        <w:rPr>
          <w:rFonts w:hint="eastAsia" w:ascii="仿宋" w:hAnsi="仿宋" w:eastAsia="仿宋" w:cs="仿宋"/>
          <w:sz w:val="28"/>
          <w:szCs w:val="28"/>
        </w:rPr>
        <w:t>，就会出现图3-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所示的页面：</w:t>
      </w:r>
    </w:p>
    <w:p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7960" cy="3182620"/>
            <wp:effectExtent l="9525" t="9525" r="18415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2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/>
        </w:rPr>
        <w:t xml:space="preserve">                                  </w:t>
      </w:r>
      <w:r>
        <w:rPr>
          <w:rFonts w:hint="eastAsia" w:ascii="仿宋" w:hAnsi="仿宋" w:eastAsia="仿宋"/>
          <w:sz w:val="28"/>
          <w:szCs w:val="28"/>
        </w:rPr>
        <w:t xml:space="preserve">  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ascii="仿宋" w:hAnsi="仿宋" w:eastAsia="仿宋" w:cs="仿宋"/>
          <w:sz w:val="28"/>
          <w:szCs w:val="28"/>
        </w:rPr>
        <w:t>4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.点击网上缴款，进入缴款页面，如图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1770" cy="2078355"/>
            <wp:effectExtent l="9525" t="9525" r="14605" b="266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8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.在此页面输入电子缴款码（比如</w:t>
      </w:r>
      <w:r>
        <w:rPr>
          <w:rFonts w:ascii="仿宋" w:hAnsi="仿宋" w:eastAsia="仿宋" w:cs="仿宋"/>
          <w:sz w:val="28"/>
          <w:szCs w:val="28"/>
        </w:rPr>
        <w:t>4100001700000020317p</w:t>
      </w:r>
      <w:r>
        <w:rPr>
          <w:rFonts w:hint="eastAsia" w:ascii="仿宋" w:hAnsi="仿宋" w:eastAsia="仿宋" w:cs="仿宋"/>
          <w:sz w:val="28"/>
          <w:szCs w:val="28"/>
        </w:rPr>
        <w:t>），及校验码，点击查询缴款：进入如图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所示页面，在此页面可以查询到缴款信息：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9230" cy="3549015"/>
            <wp:effectExtent l="9525" t="9525" r="17145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9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.点击下方确认缴款，即可进入缴款环节，如图3-2-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1862455"/>
            <wp:effectExtent l="0" t="0" r="7620" b="4445"/>
            <wp:docPr id="25" name="图片 25" descr="L`WCX}Y}Y%XK[)2WZE24G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`WCX}Y}Y%XK[)2WZE24GS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.在此页面选择缴款银行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（以中原银行为例）</w:t>
      </w:r>
      <w:r>
        <w:rPr>
          <w:rFonts w:hint="eastAsia" w:ascii="仿宋" w:hAnsi="仿宋" w:eastAsia="仿宋" w:cs="仿宋"/>
          <w:sz w:val="28"/>
          <w:szCs w:val="28"/>
        </w:rPr>
        <w:t>，点击立即支付，出现如图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所示页面：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1770" cy="3387090"/>
            <wp:effectExtent l="9525" t="9525" r="1460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7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.此页面为安装银行安全证书页面，点击是，等待系统安装，安装成功后，自动进入如图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ascii="仿宋" w:hAnsi="仿宋" w:eastAsia="仿宋" w:cs="仿宋"/>
          <w:sz w:val="28"/>
          <w:szCs w:val="28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页面：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3675" cy="2096135"/>
            <wp:effectExtent l="9525" t="9525" r="12700" b="279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.在此页面核对缴款信息，无误，并选择快捷支付后，点击下一步，如图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055" cy="1443355"/>
            <wp:effectExtent l="9525" t="9525" r="2032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43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.在此页面输入银行卡号，核对卡号，确认无误，点击下一步，等待系统处理，进入如图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页面：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1135" cy="2112645"/>
            <wp:effectExtent l="9525" t="9525" r="1524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图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-2-1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.在此页面输入短信附加码，并输入手机收到的手机动态密码，点击确定，等待系统处理，处理完成，系统提示缴款成功，如图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所示：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7960" cy="3005455"/>
            <wp:effectExtent l="9525" t="9525" r="1841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5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</w:t>
      </w:r>
      <w:r>
        <w:rPr>
          <w:rFonts w:hint="eastAsia" w:ascii="仿宋" w:hAnsi="仿宋" w:eastAsia="仿宋" w:cs="仿宋"/>
          <w:sz w:val="28"/>
          <w:szCs w:val="28"/>
        </w:rPr>
        <w:t xml:space="preserve">    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-2-1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</w:p>
    <w:p>
      <w:pPr>
        <w:numPr>
          <w:ilvl w:val="0"/>
          <w:numId w:val="2"/>
        </w:num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缴费成功，可到执收单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位开具财政票据。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1A0F3C52" w:usb2="00000010" w:usb3="00000000" w:csb0="0004001F" w:csb1="00000000"/>
  </w:font>
  <w:font w:name="仿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B4107"/>
    <w:multiLevelType w:val="singleLevel"/>
    <w:tmpl w:val="3DAB4107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1A72BC4"/>
    <w:multiLevelType w:val="multilevel"/>
    <w:tmpl w:val="51A72BC4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D4FE6"/>
    <w:rsid w:val="1D3D4FE6"/>
    <w:rsid w:val="29D272E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2018-10-30T00:41:00Z</dcterms:created>
  <dc:creator>Administrator</dc:creator>
  <cp:lastModifiedBy>Administrator</cp:lastModifiedBy>
  <dcterms:modified xsi:type="dcterms:W3CDTF">2018-11-28T03:27:40Z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